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3F164" w14:textId="67EF06E9" w:rsidR="00597AC0" w:rsidRDefault="00597AC0" w:rsidP="00C17FD7">
      <w:pPr>
        <w:jc w:val="center"/>
        <w:rPr>
          <w:sz w:val="24"/>
          <w:szCs w:val="24"/>
        </w:rPr>
      </w:pPr>
    </w:p>
    <w:p w14:paraId="42CB4B3E" w14:textId="3AD18FE3" w:rsidR="00586772" w:rsidRDefault="00586772" w:rsidP="00C17FD7">
      <w:pPr>
        <w:jc w:val="both"/>
        <w:rPr>
          <w:sz w:val="24"/>
          <w:szCs w:val="24"/>
        </w:rPr>
      </w:pPr>
      <w:r w:rsidRPr="00883237">
        <w:rPr>
          <w:sz w:val="24"/>
          <w:szCs w:val="24"/>
        </w:rPr>
        <w:t xml:space="preserve">To: </w:t>
      </w:r>
      <w:r w:rsidR="00C17FD7">
        <w:rPr>
          <w:sz w:val="24"/>
          <w:szCs w:val="24"/>
        </w:rPr>
        <w:tab/>
      </w:r>
      <w:r w:rsidRPr="00883237">
        <w:rPr>
          <w:sz w:val="24"/>
          <w:szCs w:val="24"/>
        </w:rPr>
        <w:t>Thomas Brandt, Chair, Sports Wagering Application Review Commission (SWARC)</w:t>
      </w:r>
    </w:p>
    <w:p w14:paraId="59247ACE" w14:textId="77777777" w:rsidR="00C17FD7" w:rsidRDefault="00597AC0" w:rsidP="00586772">
      <w:pPr>
        <w:contextualSpacing/>
        <w:rPr>
          <w:sz w:val="24"/>
          <w:szCs w:val="24"/>
        </w:rPr>
      </w:pPr>
      <w:r>
        <w:rPr>
          <w:sz w:val="24"/>
          <w:szCs w:val="24"/>
        </w:rPr>
        <w:t xml:space="preserve">From: </w:t>
      </w:r>
      <w:r w:rsidR="00C17FD7">
        <w:rPr>
          <w:sz w:val="24"/>
          <w:szCs w:val="24"/>
        </w:rPr>
        <w:tab/>
        <w:t>Horseshoe Baltimore</w:t>
      </w:r>
    </w:p>
    <w:p w14:paraId="6B4E2695" w14:textId="6788184F" w:rsidR="00C17FD7" w:rsidRDefault="00597AC0" w:rsidP="00C17FD7">
      <w:pPr>
        <w:ind w:firstLine="720"/>
        <w:contextualSpacing/>
        <w:rPr>
          <w:sz w:val="24"/>
          <w:szCs w:val="24"/>
        </w:rPr>
      </w:pPr>
      <w:r>
        <w:rPr>
          <w:sz w:val="24"/>
          <w:szCs w:val="24"/>
        </w:rPr>
        <w:t>Live! Casino</w:t>
      </w:r>
      <w:r w:rsidR="00C17FD7">
        <w:rPr>
          <w:sz w:val="24"/>
          <w:szCs w:val="24"/>
        </w:rPr>
        <w:t xml:space="preserve"> and Hotel</w:t>
      </w:r>
    </w:p>
    <w:p w14:paraId="5D863438" w14:textId="448B9DF0" w:rsidR="00C17FD7" w:rsidRDefault="00C17FD7" w:rsidP="00976878">
      <w:pPr>
        <w:ind w:firstLine="720"/>
        <w:contextualSpacing/>
        <w:rPr>
          <w:sz w:val="24"/>
          <w:szCs w:val="24"/>
        </w:rPr>
      </w:pPr>
      <w:r>
        <w:rPr>
          <w:sz w:val="24"/>
          <w:szCs w:val="24"/>
        </w:rPr>
        <w:t>MGM National Harbor</w:t>
      </w:r>
    </w:p>
    <w:p w14:paraId="5D3509B0" w14:textId="77777777" w:rsidR="00C17FD7" w:rsidRPr="00883237" w:rsidRDefault="00C17FD7" w:rsidP="00586772">
      <w:pPr>
        <w:rPr>
          <w:sz w:val="24"/>
          <w:szCs w:val="24"/>
        </w:rPr>
      </w:pPr>
    </w:p>
    <w:p w14:paraId="0C126AC9" w14:textId="77777777" w:rsidR="00586772" w:rsidRPr="00883237" w:rsidRDefault="00586772" w:rsidP="00586772">
      <w:pPr>
        <w:rPr>
          <w:sz w:val="24"/>
          <w:szCs w:val="24"/>
        </w:rPr>
      </w:pPr>
      <w:r w:rsidRPr="00883237">
        <w:rPr>
          <w:sz w:val="24"/>
          <w:szCs w:val="24"/>
        </w:rPr>
        <w:t xml:space="preserve">Re: Sports Wagering Application Approval </w:t>
      </w:r>
    </w:p>
    <w:p w14:paraId="559E7FBD" w14:textId="6130BF17" w:rsidR="00586772" w:rsidRPr="00883237" w:rsidRDefault="00586772">
      <w:pPr>
        <w:rPr>
          <w:sz w:val="24"/>
          <w:szCs w:val="24"/>
        </w:rPr>
      </w:pPr>
      <w:r w:rsidRPr="00883237">
        <w:rPr>
          <w:sz w:val="24"/>
          <w:szCs w:val="24"/>
        </w:rPr>
        <w:t xml:space="preserve">When </w:t>
      </w:r>
      <w:r w:rsidR="00F14817" w:rsidRPr="00883237">
        <w:rPr>
          <w:sz w:val="24"/>
          <w:szCs w:val="24"/>
        </w:rPr>
        <w:t xml:space="preserve">HB940 passed in April 2021, it was the culmination of more than </w:t>
      </w:r>
      <w:r w:rsidR="006875AD" w:rsidRPr="00883237">
        <w:rPr>
          <w:sz w:val="24"/>
          <w:szCs w:val="24"/>
        </w:rPr>
        <w:t>four</w:t>
      </w:r>
      <w:r w:rsidR="00F14817" w:rsidRPr="00883237">
        <w:rPr>
          <w:sz w:val="24"/>
          <w:szCs w:val="24"/>
        </w:rPr>
        <w:t xml:space="preserve"> legislative sessions worth of debate in Maryland about whether the </w:t>
      </w:r>
      <w:r w:rsidR="00952655" w:rsidRPr="00883237">
        <w:rPr>
          <w:sz w:val="24"/>
          <w:szCs w:val="24"/>
        </w:rPr>
        <w:t>State</w:t>
      </w:r>
      <w:r w:rsidR="00F14817" w:rsidRPr="00883237">
        <w:rPr>
          <w:sz w:val="24"/>
          <w:szCs w:val="24"/>
        </w:rPr>
        <w:t xml:space="preserve"> </w:t>
      </w:r>
      <w:r w:rsidR="006875AD" w:rsidRPr="00883237">
        <w:rPr>
          <w:sz w:val="24"/>
          <w:szCs w:val="24"/>
        </w:rPr>
        <w:t>should</w:t>
      </w:r>
      <w:r w:rsidR="00F14817" w:rsidRPr="00883237">
        <w:rPr>
          <w:sz w:val="24"/>
          <w:szCs w:val="24"/>
        </w:rPr>
        <w:t xml:space="preserve"> legaliz</w:t>
      </w:r>
      <w:r w:rsidR="006875AD" w:rsidRPr="00883237">
        <w:rPr>
          <w:sz w:val="24"/>
          <w:szCs w:val="24"/>
        </w:rPr>
        <w:t>e</w:t>
      </w:r>
      <w:r w:rsidR="00F14817" w:rsidRPr="00883237">
        <w:rPr>
          <w:sz w:val="24"/>
          <w:szCs w:val="24"/>
        </w:rPr>
        <w:t xml:space="preserve"> sports </w:t>
      </w:r>
      <w:r w:rsidR="006875AD" w:rsidRPr="00883237">
        <w:rPr>
          <w:sz w:val="24"/>
          <w:szCs w:val="24"/>
        </w:rPr>
        <w:t>wagering</w:t>
      </w:r>
      <w:r w:rsidR="00F14817" w:rsidRPr="00883237">
        <w:rPr>
          <w:sz w:val="24"/>
          <w:szCs w:val="24"/>
        </w:rPr>
        <w:t xml:space="preserve"> within its boundaries. Since the </w:t>
      </w:r>
      <w:r w:rsidR="006875AD" w:rsidRPr="00883237">
        <w:rPr>
          <w:sz w:val="24"/>
          <w:szCs w:val="24"/>
        </w:rPr>
        <w:t xml:space="preserve">Maryland legislature first began debating this issue in </w:t>
      </w:r>
      <w:r w:rsidR="00F14817" w:rsidRPr="00883237">
        <w:rPr>
          <w:sz w:val="24"/>
          <w:szCs w:val="24"/>
        </w:rPr>
        <w:t>2018</w:t>
      </w:r>
      <w:r w:rsidR="006875AD" w:rsidRPr="00883237">
        <w:rPr>
          <w:sz w:val="24"/>
          <w:szCs w:val="24"/>
        </w:rPr>
        <w:t>,</w:t>
      </w:r>
      <w:r w:rsidR="00F14817" w:rsidRPr="00883237">
        <w:rPr>
          <w:sz w:val="24"/>
          <w:szCs w:val="24"/>
        </w:rPr>
        <w:t xml:space="preserve"> </w:t>
      </w:r>
      <w:r w:rsidR="006875AD" w:rsidRPr="00883237">
        <w:rPr>
          <w:sz w:val="24"/>
          <w:szCs w:val="24"/>
        </w:rPr>
        <w:t xml:space="preserve">Maryland voters passed by a 2-to-1 margin </w:t>
      </w:r>
      <w:r w:rsidR="00F14817" w:rsidRPr="00883237">
        <w:rPr>
          <w:sz w:val="24"/>
          <w:szCs w:val="24"/>
        </w:rPr>
        <w:t xml:space="preserve">a </w:t>
      </w:r>
      <w:r w:rsidR="00952655" w:rsidRPr="00883237">
        <w:rPr>
          <w:sz w:val="24"/>
          <w:szCs w:val="24"/>
        </w:rPr>
        <w:t>referendum</w:t>
      </w:r>
      <w:r w:rsidR="006875AD" w:rsidRPr="00883237">
        <w:rPr>
          <w:sz w:val="24"/>
          <w:szCs w:val="24"/>
        </w:rPr>
        <w:t xml:space="preserve"> supporting sports betting legalization, and</w:t>
      </w:r>
      <w:r w:rsidR="00F14817" w:rsidRPr="00883237">
        <w:rPr>
          <w:sz w:val="24"/>
          <w:szCs w:val="24"/>
        </w:rPr>
        <w:t xml:space="preserve"> every </w:t>
      </w:r>
      <w:r w:rsidR="006875AD" w:rsidRPr="00883237">
        <w:rPr>
          <w:sz w:val="24"/>
          <w:szCs w:val="24"/>
        </w:rPr>
        <w:t>jurisdiction</w:t>
      </w:r>
      <w:r w:rsidR="00952655" w:rsidRPr="00883237">
        <w:rPr>
          <w:sz w:val="24"/>
          <w:szCs w:val="24"/>
        </w:rPr>
        <w:t xml:space="preserve"> surrounding Maryland </w:t>
      </w:r>
      <w:r w:rsidR="00F14817" w:rsidRPr="00883237">
        <w:rPr>
          <w:sz w:val="24"/>
          <w:szCs w:val="24"/>
        </w:rPr>
        <w:t xml:space="preserve">has passed </w:t>
      </w:r>
      <w:r w:rsidR="006875AD" w:rsidRPr="00883237">
        <w:rPr>
          <w:sz w:val="24"/>
          <w:szCs w:val="24"/>
        </w:rPr>
        <w:t xml:space="preserve">a </w:t>
      </w:r>
      <w:r w:rsidR="00F14817" w:rsidRPr="00883237">
        <w:rPr>
          <w:sz w:val="24"/>
          <w:szCs w:val="24"/>
        </w:rPr>
        <w:t xml:space="preserve">sports </w:t>
      </w:r>
      <w:r w:rsidR="006875AD" w:rsidRPr="00883237">
        <w:rPr>
          <w:sz w:val="24"/>
          <w:szCs w:val="24"/>
        </w:rPr>
        <w:t>wagering</w:t>
      </w:r>
      <w:r w:rsidR="00F14817" w:rsidRPr="00883237">
        <w:rPr>
          <w:sz w:val="24"/>
          <w:szCs w:val="24"/>
        </w:rPr>
        <w:t xml:space="preserve"> law and </w:t>
      </w:r>
      <w:r w:rsidR="006875AD" w:rsidRPr="00883237">
        <w:rPr>
          <w:sz w:val="24"/>
          <w:szCs w:val="24"/>
        </w:rPr>
        <w:t xml:space="preserve">permitted </w:t>
      </w:r>
      <w:r w:rsidR="00952655" w:rsidRPr="00883237">
        <w:rPr>
          <w:sz w:val="24"/>
          <w:szCs w:val="24"/>
        </w:rPr>
        <w:t xml:space="preserve">sports </w:t>
      </w:r>
      <w:r w:rsidR="006875AD" w:rsidRPr="00883237">
        <w:rPr>
          <w:sz w:val="24"/>
          <w:szCs w:val="24"/>
        </w:rPr>
        <w:t>wagering to launch</w:t>
      </w:r>
      <w:r w:rsidR="00952655" w:rsidRPr="00883237">
        <w:rPr>
          <w:sz w:val="24"/>
          <w:szCs w:val="24"/>
        </w:rPr>
        <w:t xml:space="preserve">. </w:t>
      </w:r>
      <w:r w:rsidR="006875AD" w:rsidRPr="00883237">
        <w:rPr>
          <w:sz w:val="24"/>
          <w:szCs w:val="24"/>
        </w:rPr>
        <w:t>Finally</w:t>
      </w:r>
      <w:r w:rsidR="00CB1EEF">
        <w:rPr>
          <w:sz w:val="24"/>
          <w:szCs w:val="24"/>
        </w:rPr>
        <w:t>,</w:t>
      </w:r>
      <w:r w:rsidR="006875AD" w:rsidRPr="00883237">
        <w:rPr>
          <w:sz w:val="24"/>
          <w:szCs w:val="24"/>
        </w:rPr>
        <w:t xml:space="preserve"> i</w:t>
      </w:r>
      <w:r w:rsidR="00952655" w:rsidRPr="00883237">
        <w:rPr>
          <w:sz w:val="24"/>
          <w:szCs w:val="24"/>
        </w:rPr>
        <w:t xml:space="preserve">n 2021, </w:t>
      </w:r>
      <w:r w:rsidR="006875AD" w:rsidRPr="00883237">
        <w:rPr>
          <w:sz w:val="24"/>
          <w:szCs w:val="24"/>
        </w:rPr>
        <w:t>the legislature passed</w:t>
      </w:r>
      <w:r w:rsidR="00CA667B" w:rsidRPr="00883237">
        <w:rPr>
          <w:sz w:val="24"/>
          <w:szCs w:val="24"/>
        </w:rPr>
        <w:t>,</w:t>
      </w:r>
      <w:r w:rsidR="006875AD" w:rsidRPr="00883237">
        <w:rPr>
          <w:sz w:val="24"/>
          <w:szCs w:val="24"/>
        </w:rPr>
        <w:t xml:space="preserve"> by an overwhelming margin</w:t>
      </w:r>
      <w:r w:rsidR="00CA667B" w:rsidRPr="00883237">
        <w:rPr>
          <w:sz w:val="24"/>
          <w:szCs w:val="24"/>
        </w:rPr>
        <w:t>,</w:t>
      </w:r>
      <w:r w:rsidR="006875AD" w:rsidRPr="00883237">
        <w:rPr>
          <w:sz w:val="24"/>
          <w:szCs w:val="24"/>
        </w:rPr>
        <w:t xml:space="preserve"> </w:t>
      </w:r>
      <w:r w:rsidR="00952655" w:rsidRPr="00883237">
        <w:rPr>
          <w:sz w:val="24"/>
          <w:szCs w:val="24"/>
        </w:rPr>
        <w:t xml:space="preserve">a bill that </w:t>
      </w:r>
      <w:r w:rsidR="006875AD" w:rsidRPr="00883237">
        <w:rPr>
          <w:sz w:val="24"/>
          <w:szCs w:val="24"/>
        </w:rPr>
        <w:t xml:space="preserve">many legislators </w:t>
      </w:r>
      <w:r w:rsidR="00F14817" w:rsidRPr="00883237">
        <w:rPr>
          <w:sz w:val="24"/>
          <w:szCs w:val="24"/>
        </w:rPr>
        <w:t>called “historic” and “ground breaking</w:t>
      </w:r>
      <w:r w:rsidR="006875AD" w:rsidRPr="00883237">
        <w:rPr>
          <w:sz w:val="24"/>
          <w:szCs w:val="24"/>
        </w:rPr>
        <w:t>.</w:t>
      </w:r>
      <w:r w:rsidR="00F14817" w:rsidRPr="00883237">
        <w:rPr>
          <w:sz w:val="24"/>
          <w:szCs w:val="24"/>
        </w:rPr>
        <w:t xml:space="preserve">” The structure of this bill was very </w:t>
      </w:r>
      <w:proofErr w:type="gramStart"/>
      <w:r w:rsidR="00F14817" w:rsidRPr="00883237">
        <w:rPr>
          <w:sz w:val="24"/>
          <w:szCs w:val="24"/>
        </w:rPr>
        <w:t>complex</w:t>
      </w:r>
      <w:proofErr w:type="gramEnd"/>
      <w:r w:rsidR="00F14817" w:rsidRPr="00883237">
        <w:rPr>
          <w:sz w:val="24"/>
          <w:szCs w:val="24"/>
        </w:rPr>
        <w:t xml:space="preserve"> but it explicit</w:t>
      </w:r>
      <w:r w:rsidR="006875AD" w:rsidRPr="00883237">
        <w:rPr>
          <w:sz w:val="24"/>
          <w:szCs w:val="24"/>
        </w:rPr>
        <w:t>ly mandated</w:t>
      </w:r>
      <w:r w:rsidR="00F14817" w:rsidRPr="00883237">
        <w:rPr>
          <w:sz w:val="24"/>
          <w:szCs w:val="24"/>
        </w:rPr>
        <w:t xml:space="preserve"> </w:t>
      </w:r>
      <w:r w:rsidR="006875AD" w:rsidRPr="00883237">
        <w:rPr>
          <w:sz w:val="24"/>
          <w:szCs w:val="24"/>
        </w:rPr>
        <w:t>that</w:t>
      </w:r>
      <w:r w:rsidR="00F14817" w:rsidRPr="00883237">
        <w:rPr>
          <w:sz w:val="24"/>
          <w:szCs w:val="24"/>
        </w:rPr>
        <w:t xml:space="preserve"> 17 named entities in the </w:t>
      </w:r>
      <w:r w:rsidR="00FB5BD4" w:rsidRPr="00883237">
        <w:rPr>
          <w:sz w:val="24"/>
          <w:szCs w:val="24"/>
        </w:rPr>
        <w:t>S</w:t>
      </w:r>
      <w:r w:rsidR="00F14817" w:rsidRPr="00883237">
        <w:rPr>
          <w:sz w:val="24"/>
          <w:szCs w:val="24"/>
        </w:rPr>
        <w:t>tate</w:t>
      </w:r>
      <w:r w:rsidR="006875AD" w:rsidRPr="00883237">
        <w:rPr>
          <w:sz w:val="24"/>
          <w:szCs w:val="24"/>
        </w:rPr>
        <w:t xml:space="preserve"> receive “Class A” retail sports wagering licenses</w:t>
      </w:r>
      <w:r w:rsidR="00F14817" w:rsidRPr="00883237">
        <w:rPr>
          <w:sz w:val="24"/>
          <w:szCs w:val="24"/>
        </w:rPr>
        <w:t xml:space="preserve"> as long as the</w:t>
      </w:r>
      <w:r w:rsidR="006875AD" w:rsidRPr="00883237">
        <w:rPr>
          <w:sz w:val="24"/>
          <w:szCs w:val="24"/>
        </w:rPr>
        <w:t>y</w:t>
      </w:r>
      <w:r w:rsidR="00F14817" w:rsidRPr="00883237">
        <w:rPr>
          <w:sz w:val="24"/>
          <w:szCs w:val="24"/>
        </w:rPr>
        <w:t xml:space="preserve"> pass the scrutiny of the Maryland Lottery and Gaming Control Commission</w:t>
      </w:r>
      <w:r w:rsidR="008A729A" w:rsidRPr="00883237">
        <w:rPr>
          <w:sz w:val="24"/>
          <w:szCs w:val="24"/>
        </w:rPr>
        <w:t xml:space="preserve"> (MLGC</w:t>
      </w:r>
      <w:r w:rsidR="00DC51AA" w:rsidRPr="00883237">
        <w:rPr>
          <w:sz w:val="24"/>
          <w:szCs w:val="24"/>
        </w:rPr>
        <w:t>C</w:t>
      </w:r>
      <w:r w:rsidR="008A729A" w:rsidRPr="00883237">
        <w:rPr>
          <w:sz w:val="24"/>
          <w:szCs w:val="24"/>
        </w:rPr>
        <w:t xml:space="preserve">). </w:t>
      </w:r>
    </w:p>
    <w:p w14:paraId="7449CBE5" w14:textId="13DF1C55" w:rsidR="008A729A" w:rsidRPr="00883237" w:rsidRDefault="009D76CC">
      <w:pPr>
        <w:rPr>
          <w:sz w:val="24"/>
          <w:szCs w:val="24"/>
        </w:rPr>
      </w:pPr>
      <w:r w:rsidRPr="00883237">
        <w:rPr>
          <w:sz w:val="24"/>
          <w:szCs w:val="24"/>
        </w:rPr>
        <w:t>The resulting statute</w:t>
      </w:r>
      <w:r w:rsidR="00F42561" w:rsidRPr="00883237">
        <w:rPr>
          <w:sz w:val="24"/>
          <w:szCs w:val="24"/>
        </w:rPr>
        <w:t xml:space="preserve"> is </w:t>
      </w:r>
      <w:r w:rsidRPr="00883237">
        <w:rPr>
          <w:sz w:val="24"/>
          <w:szCs w:val="24"/>
        </w:rPr>
        <w:t xml:space="preserve">State </w:t>
      </w:r>
      <w:proofErr w:type="gramStart"/>
      <w:r w:rsidRPr="00883237">
        <w:rPr>
          <w:sz w:val="24"/>
          <w:szCs w:val="24"/>
        </w:rPr>
        <w:t>Gov't  §</w:t>
      </w:r>
      <w:proofErr w:type="gramEnd"/>
      <w:r w:rsidRPr="00883237">
        <w:rPr>
          <w:sz w:val="24"/>
          <w:szCs w:val="24"/>
        </w:rPr>
        <w:t xml:space="preserve"> 9-1E-15</w:t>
      </w:r>
      <w:r w:rsidR="00F42561" w:rsidRPr="00883237">
        <w:rPr>
          <w:sz w:val="24"/>
          <w:szCs w:val="24"/>
        </w:rPr>
        <w:t>.  Its subsection (f)</w:t>
      </w:r>
      <w:r w:rsidRPr="00883237">
        <w:rPr>
          <w:sz w:val="24"/>
          <w:szCs w:val="24"/>
        </w:rPr>
        <w:t xml:space="preserve">, entitled "Duties," </w:t>
      </w:r>
      <w:r w:rsidR="00F42561" w:rsidRPr="00883237">
        <w:rPr>
          <w:sz w:val="24"/>
          <w:szCs w:val="24"/>
        </w:rPr>
        <w:t>states:</w:t>
      </w:r>
      <w:r w:rsidRPr="00883237">
        <w:rPr>
          <w:sz w:val="24"/>
          <w:szCs w:val="24"/>
        </w:rPr>
        <w:t xml:space="preserve"> </w:t>
      </w:r>
    </w:p>
    <w:p w14:paraId="6561CB9E" w14:textId="460EB3E3" w:rsidR="008A729A" w:rsidRPr="00883237" w:rsidRDefault="008A729A">
      <w:pPr>
        <w:contextualSpacing/>
        <w:rPr>
          <w:sz w:val="24"/>
          <w:szCs w:val="24"/>
        </w:rPr>
      </w:pPr>
      <w:r w:rsidRPr="00883237">
        <w:rPr>
          <w:sz w:val="24"/>
          <w:szCs w:val="24"/>
        </w:rPr>
        <w:tab/>
      </w:r>
      <w:r w:rsidR="006875AD" w:rsidRPr="00883237">
        <w:rPr>
          <w:sz w:val="24"/>
          <w:szCs w:val="24"/>
        </w:rPr>
        <w:t>“</w:t>
      </w:r>
      <w:r w:rsidR="004132D6" w:rsidRPr="00883237">
        <w:rPr>
          <w:sz w:val="24"/>
          <w:szCs w:val="24"/>
        </w:rPr>
        <w:t xml:space="preserve">The Sports Wagering Application Review Commission: </w:t>
      </w:r>
    </w:p>
    <w:p w14:paraId="4709CBFB" w14:textId="22518D73" w:rsidR="004132D6" w:rsidRPr="00883237" w:rsidRDefault="004132D6" w:rsidP="004132D6">
      <w:pPr>
        <w:ind w:left="1440"/>
        <w:contextualSpacing/>
        <w:rPr>
          <w:sz w:val="24"/>
          <w:szCs w:val="24"/>
        </w:rPr>
      </w:pPr>
      <w:r w:rsidRPr="00883237">
        <w:rPr>
          <w:sz w:val="24"/>
          <w:szCs w:val="24"/>
        </w:rPr>
        <w:t xml:space="preserve">(1)  Shall review applications for Sports Wagering Licenses submitted in accordance with 9-1E-06 of this subtitle; </w:t>
      </w:r>
    </w:p>
    <w:p w14:paraId="2DAC4421" w14:textId="4A836ED7" w:rsidR="004132D6" w:rsidRPr="00883237" w:rsidRDefault="004132D6" w:rsidP="004132D6">
      <w:pPr>
        <w:ind w:left="1440"/>
        <w:contextualSpacing/>
        <w:rPr>
          <w:sz w:val="24"/>
          <w:szCs w:val="24"/>
        </w:rPr>
      </w:pPr>
      <w:r w:rsidRPr="00883237">
        <w:rPr>
          <w:sz w:val="24"/>
          <w:szCs w:val="24"/>
        </w:rPr>
        <w:t>(2) Shall award:</w:t>
      </w:r>
    </w:p>
    <w:p w14:paraId="2F40034D" w14:textId="4FA08B7F" w:rsidR="004132D6" w:rsidRPr="00883237" w:rsidRDefault="004132D6" w:rsidP="004132D6">
      <w:pPr>
        <w:ind w:left="2160"/>
        <w:contextualSpacing/>
        <w:rPr>
          <w:sz w:val="24"/>
          <w:szCs w:val="24"/>
        </w:rPr>
      </w:pPr>
      <w:r w:rsidRPr="00883237">
        <w:rPr>
          <w:sz w:val="24"/>
          <w:szCs w:val="24"/>
        </w:rPr>
        <w:t>(I)  A Class A-1 or A-2 facility license to any applicant that meets the requirements for licensure under this subtitle</w:t>
      </w:r>
      <w:r w:rsidR="006875AD" w:rsidRPr="00883237">
        <w:rPr>
          <w:sz w:val="24"/>
          <w:szCs w:val="24"/>
        </w:rPr>
        <w:t>…”</w:t>
      </w:r>
    </w:p>
    <w:p w14:paraId="5D147402" w14:textId="77777777" w:rsidR="005C5F9D" w:rsidRPr="00883237" w:rsidRDefault="005C5F9D" w:rsidP="004132D6">
      <w:pPr>
        <w:ind w:left="2160"/>
        <w:contextualSpacing/>
        <w:rPr>
          <w:sz w:val="24"/>
          <w:szCs w:val="24"/>
        </w:rPr>
      </w:pPr>
    </w:p>
    <w:p w14:paraId="005521E9" w14:textId="736BD737" w:rsidR="004132D6" w:rsidRPr="00883237" w:rsidRDefault="00421168" w:rsidP="004132D6">
      <w:pPr>
        <w:rPr>
          <w:sz w:val="24"/>
          <w:szCs w:val="24"/>
        </w:rPr>
      </w:pPr>
      <w:r w:rsidRPr="00883237">
        <w:rPr>
          <w:sz w:val="24"/>
          <w:szCs w:val="24"/>
        </w:rPr>
        <w:t>Each of the “Class A” applicants signing this letter has passed the rigorous scrutiny of the MLGC</w:t>
      </w:r>
      <w:r w:rsidR="00DC51AA" w:rsidRPr="00883237">
        <w:rPr>
          <w:sz w:val="24"/>
          <w:szCs w:val="24"/>
        </w:rPr>
        <w:t>C</w:t>
      </w:r>
      <w:r w:rsidRPr="00883237">
        <w:rPr>
          <w:sz w:val="24"/>
          <w:szCs w:val="24"/>
        </w:rPr>
        <w:t xml:space="preserve"> and satisfied the conditions for licensure established by HB940(F).  Yet, the Sports Wagering Application Review Commission (SWARC) has delayed approval of these licenses for several weeks with no clear explanation for the delay. </w:t>
      </w:r>
      <w:r w:rsidR="004132D6" w:rsidRPr="00883237">
        <w:rPr>
          <w:sz w:val="24"/>
          <w:szCs w:val="24"/>
        </w:rPr>
        <w:t xml:space="preserve"> </w:t>
      </w:r>
    </w:p>
    <w:p w14:paraId="78941963" w14:textId="614F0CB1" w:rsidR="004132D6" w:rsidRPr="00883237" w:rsidRDefault="004132D6" w:rsidP="004132D6">
      <w:pPr>
        <w:rPr>
          <w:sz w:val="24"/>
          <w:szCs w:val="24"/>
        </w:rPr>
      </w:pPr>
      <w:r w:rsidRPr="00883237">
        <w:rPr>
          <w:sz w:val="24"/>
          <w:szCs w:val="24"/>
        </w:rPr>
        <w:t xml:space="preserve">In preparation for the enactment of this statute, </w:t>
      </w:r>
      <w:r w:rsidR="00F647DD">
        <w:rPr>
          <w:sz w:val="24"/>
          <w:szCs w:val="24"/>
        </w:rPr>
        <w:t>the casino industry</w:t>
      </w:r>
      <w:r w:rsidR="00133D9F">
        <w:rPr>
          <w:sz w:val="24"/>
          <w:szCs w:val="24"/>
        </w:rPr>
        <w:t xml:space="preserve"> ha</w:t>
      </w:r>
      <w:r w:rsidR="00F647DD">
        <w:rPr>
          <w:sz w:val="24"/>
          <w:szCs w:val="24"/>
        </w:rPr>
        <w:t>s</w:t>
      </w:r>
      <w:r w:rsidR="00421168" w:rsidRPr="00883237">
        <w:rPr>
          <w:sz w:val="24"/>
          <w:szCs w:val="24"/>
        </w:rPr>
        <w:t xml:space="preserve"> </w:t>
      </w:r>
      <w:r w:rsidR="00952655" w:rsidRPr="00883237">
        <w:rPr>
          <w:sz w:val="24"/>
          <w:szCs w:val="24"/>
        </w:rPr>
        <w:t>hired</w:t>
      </w:r>
      <w:r w:rsidRPr="00883237">
        <w:rPr>
          <w:sz w:val="24"/>
          <w:szCs w:val="24"/>
        </w:rPr>
        <w:t xml:space="preserve"> hundreds of Marylanders to begin wor</w:t>
      </w:r>
      <w:r w:rsidR="006A2749" w:rsidRPr="00883237">
        <w:rPr>
          <w:sz w:val="24"/>
          <w:szCs w:val="24"/>
        </w:rPr>
        <w:t>king. H</w:t>
      </w:r>
      <w:r w:rsidRPr="00883237">
        <w:rPr>
          <w:sz w:val="24"/>
          <w:szCs w:val="24"/>
        </w:rPr>
        <w:t>owever</w:t>
      </w:r>
      <w:r w:rsidR="006A2749" w:rsidRPr="00883237">
        <w:rPr>
          <w:sz w:val="24"/>
          <w:szCs w:val="24"/>
        </w:rPr>
        <w:t>,</w:t>
      </w:r>
      <w:r w:rsidRPr="00883237">
        <w:rPr>
          <w:sz w:val="24"/>
          <w:szCs w:val="24"/>
        </w:rPr>
        <w:t xml:space="preserve"> these </w:t>
      </w:r>
      <w:r w:rsidR="006A2749" w:rsidRPr="00883237">
        <w:rPr>
          <w:sz w:val="24"/>
          <w:szCs w:val="24"/>
        </w:rPr>
        <w:t xml:space="preserve">new </w:t>
      </w:r>
      <w:r w:rsidRPr="00883237">
        <w:rPr>
          <w:sz w:val="24"/>
          <w:szCs w:val="24"/>
        </w:rPr>
        <w:t xml:space="preserve">employees have not </w:t>
      </w:r>
      <w:r w:rsidR="00952655" w:rsidRPr="00883237">
        <w:rPr>
          <w:sz w:val="24"/>
          <w:szCs w:val="24"/>
        </w:rPr>
        <w:t>enjoyed their first day</w:t>
      </w:r>
      <w:r w:rsidRPr="00883237">
        <w:rPr>
          <w:sz w:val="24"/>
          <w:szCs w:val="24"/>
        </w:rPr>
        <w:t xml:space="preserve">, nor have </w:t>
      </w:r>
      <w:r w:rsidR="00CA667B" w:rsidRPr="00883237">
        <w:rPr>
          <w:sz w:val="24"/>
          <w:szCs w:val="24"/>
        </w:rPr>
        <w:t xml:space="preserve">they </w:t>
      </w:r>
      <w:r w:rsidRPr="00883237">
        <w:rPr>
          <w:sz w:val="24"/>
          <w:szCs w:val="24"/>
        </w:rPr>
        <w:t>been giv</w:t>
      </w:r>
      <w:r w:rsidR="00CA667B" w:rsidRPr="00883237">
        <w:rPr>
          <w:sz w:val="24"/>
          <w:szCs w:val="24"/>
        </w:rPr>
        <w:t>en</w:t>
      </w:r>
      <w:r w:rsidRPr="00883237">
        <w:rPr>
          <w:sz w:val="24"/>
          <w:szCs w:val="24"/>
        </w:rPr>
        <w:t xml:space="preserve"> a starting date for</w:t>
      </w:r>
      <w:r w:rsidR="00952655" w:rsidRPr="00883237">
        <w:rPr>
          <w:sz w:val="24"/>
          <w:szCs w:val="24"/>
        </w:rPr>
        <w:t xml:space="preserve"> their</w:t>
      </w:r>
      <w:r w:rsidRPr="00883237">
        <w:rPr>
          <w:sz w:val="24"/>
          <w:szCs w:val="24"/>
        </w:rPr>
        <w:t xml:space="preserve"> employment</w:t>
      </w:r>
      <w:r w:rsidR="00CA667B" w:rsidRPr="00883237">
        <w:rPr>
          <w:sz w:val="24"/>
          <w:szCs w:val="24"/>
        </w:rPr>
        <w:t>,</w:t>
      </w:r>
      <w:r w:rsidRPr="00883237">
        <w:rPr>
          <w:sz w:val="24"/>
          <w:szCs w:val="24"/>
        </w:rPr>
        <w:t xml:space="preserve"> w</w:t>
      </w:r>
      <w:r w:rsidR="00952655" w:rsidRPr="00883237">
        <w:rPr>
          <w:sz w:val="24"/>
          <w:szCs w:val="24"/>
        </w:rPr>
        <w:t xml:space="preserve">hich includes </w:t>
      </w:r>
      <w:r w:rsidRPr="00883237">
        <w:rPr>
          <w:sz w:val="24"/>
          <w:szCs w:val="24"/>
        </w:rPr>
        <w:t>critical health benefits for themselves and their families</w:t>
      </w:r>
      <w:r w:rsidR="00952655" w:rsidRPr="00883237">
        <w:rPr>
          <w:sz w:val="24"/>
          <w:szCs w:val="24"/>
        </w:rPr>
        <w:t xml:space="preserve"> during a global pandemic</w:t>
      </w:r>
      <w:r w:rsidRPr="00883237">
        <w:rPr>
          <w:sz w:val="24"/>
          <w:szCs w:val="24"/>
        </w:rPr>
        <w:t>.</w:t>
      </w:r>
      <w:r w:rsidR="006A2749" w:rsidRPr="00883237">
        <w:rPr>
          <w:sz w:val="24"/>
          <w:szCs w:val="24"/>
        </w:rPr>
        <w:t xml:space="preserve"> </w:t>
      </w:r>
    </w:p>
    <w:p w14:paraId="1C73EF78" w14:textId="04C34968" w:rsidR="004132D6" w:rsidRPr="00883237" w:rsidRDefault="004132D6" w:rsidP="004132D6">
      <w:pPr>
        <w:rPr>
          <w:sz w:val="24"/>
          <w:szCs w:val="24"/>
        </w:rPr>
      </w:pPr>
      <w:r w:rsidRPr="00883237">
        <w:rPr>
          <w:sz w:val="24"/>
          <w:szCs w:val="24"/>
        </w:rPr>
        <w:t>While there has been no formal correspondence to the applicants</w:t>
      </w:r>
      <w:r w:rsidR="00952655" w:rsidRPr="00883237">
        <w:rPr>
          <w:sz w:val="24"/>
          <w:szCs w:val="24"/>
        </w:rPr>
        <w:t xml:space="preserve"> about a justification for these delays</w:t>
      </w:r>
      <w:r w:rsidRPr="00883237">
        <w:rPr>
          <w:sz w:val="24"/>
          <w:szCs w:val="24"/>
        </w:rPr>
        <w:t xml:space="preserve">, we understand </w:t>
      </w:r>
      <w:r w:rsidR="00DC51AA" w:rsidRPr="00883237">
        <w:rPr>
          <w:sz w:val="24"/>
          <w:szCs w:val="24"/>
        </w:rPr>
        <w:t>from media reports</w:t>
      </w:r>
      <w:r w:rsidRPr="00883237">
        <w:rPr>
          <w:sz w:val="24"/>
          <w:szCs w:val="24"/>
        </w:rPr>
        <w:t xml:space="preserve"> that the delays are due to a desire to conduct a second disparity study</w:t>
      </w:r>
      <w:r w:rsidR="00B148DE" w:rsidRPr="00883237">
        <w:rPr>
          <w:sz w:val="24"/>
          <w:szCs w:val="24"/>
        </w:rPr>
        <w:t xml:space="preserve">, under the authority of § 9-1E-15(h)(3), </w:t>
      </w:r>
      <w:r w:rsidRPr="00883237">
        <w:rPr>
          <w:sz w:val="24"/>
          <w:szCs w:val="24"/>
        </w:rPr>
        <w:t xml:space="preserve"> to “determine whether there is a compelling interest </w:t>
      </w:r>
      <w:r w:rsidR="00CA667B" w:rsidRPr="00883237">
        <w:rPr>
          <w:sz w:val="24"/>
          <w:szCs w:val="24"/>
        </w:rPr>
        <w:t xml:space="preserve">[to] </w:t>
      </w:r>
      <w:r w:rsidRPr="00883237">
        <w:rPr>
          <w:sz w:val="24"/>
          <w:szCs w:val="24"/>
        </w:rPr>
        <w:t>implement remedial measures…to assist minorities and women in the sports wagering industry</w:t>
      </w:r>
      <w:r w:rsidR="00B148DE" w:rsidRPr="00883237">
        <w:rPr>
          <w:sz w:val="24"/>
          <w:szCs w:val="24"/>
        </w:rPr>
        <w:t xml:space="preserve"> .</w:t>
      </w:r>
      <w:r w:rsidRPr="00883237">
        <w:rPr>
          <w:sz w:val="24"/>
          <w:szCs w:val="24"/>
        </w:rPr>
        <w:t xml:space="preserve">However, </w:t>
      </w:r>
      <w:r w:rsidR="001E555B" w:rsidRPr="00883237">
        <w:rPr>
          <w:sz w:val="24"/>
          <w:szCs w:val="24"/>
        </w:rPr>
        <w:t>the statute is clear</w:t>
      </w:r>
      <w:r w:rsidR="00DC51AA" w:rsidRPr="00883237">
        <w:rPr>
          <w:sz w:val="24"/>
          <w:szCs w:val="24"/>
        </w:rPr>
        <w:t xml:space="preserve"> that</w:t>
      </w:r>
      <w:r w:rsidR="00B148DE" w:rsidRPr="00883237">
        <w:rPr>
          <w:sz w:val="24"/>
          <w:szCs w:val="24"/>
        </w:rPr>
        <w:t xml:space="preserve"> the provisions of § 9-1E-15(h) do not apply to Class A retail sports wagering license applicants: </w:t>
      </w:r>
      <w:r w:rsidR="001E555B" w:rsidRPr="00883237">
        <w:rPr>
          <w:sz w:val="24"/>
          <w:szCs w:val="24"/>
        </w:rPr>
        <w:t>“</w:t>
      </w:r>
      <w:r w:rsidR="00F33633" w:rsidRPr="00883237">
        <w:rPr>
          <w:sz w:val="24"/>
          <w:szCs w:val="24"/>
        </w:rPr>
        <w:t>T</w:t>
      </w:r>
      <w:r w:rsidR="001E555B" w:rsidRPr="00883237">
        <w:rPr>
          <w:sz w:val="24"/>
          <w:szCs w:val="24"/>
        </w:rPr>
        <w:t xml:space="preserve">his subsection </w:t>
      </w:r>
      <w:r w:rsidR="00F33633" w:rsidRPr="00883237">
        <w:rPr>
          <w:sz w:val="24"/>
          <w:szCs w:val="24"/>
        </w:rPr>
        <w:t>[(h)]</w:t>
      </w:r>
      <w:r w:rsidR="001E555B" w:rsidRPr="00883237">
        <w:rPr>
          <w:sz w:val="24"/>
          <w:szCs w:val="24"/>
        </w:rPr>
        <w:t>applies only to Class B-1 or B-2 Sports Wagering Facility Licenses, other than licenses issued to an applicant described under 9-1E-06(A)(2)(I) of this subtitle, and mobile sports wagering licenses.”</w:t>
      </w:r>
      <w:r w:rsidR="00F33633" w:rsidRPr="00883237">
        <w:rPr>
          <w:sz w:val="24"/>
          <w:szCs w:val="24"/>
        </w:rPr>
        <w:t xml:space="preserve">  In other words, </w:t>
      </w:r>
      <w:r w:rsidR="0091630E" w:rsidRPr="00883237">
        <w:rPr>
          <w:sz w:val="24"/>
          <w:szCs w:val="24"/>
        </w:rPr>
        <w:t>while the undersigned acknowledge SWARC's statutory authority</w:t>
      </w:r>
      <w:r w:rsidR="00F33633" w:rsidRPr="00883237">
        <w:rPr>
          <w:sz w:val="24"/>
          <w:szCs w:val="24"/>
        </w:rPr>
        <w:t xml:space="preserve"> </w:t>
      </w:r>
      <w:r w:rsidR="00883237" w:rsidRPr="00883237">
        <w:rPr>
          <w:sz w:val="24"/>
          <w:szCs w:val="24"/>
        </w:rPr>
        <w:t xml:space="preserve">under subsection (h) </w:t>
      </w:r>
      <w:r w:rsidR="00F42561" w:rsidRPr="00883237">
        <w:rPr>
          <w:sz w:val="24"/>
          <w:szCs w:val="24"/>
        </w:rPr>
        <w:t>to</w:t>
      </w:r>
      <w:r w:rsidR="00F33633" w:rsidRPr="00883237">
        <w:rPr>
          <w:sz w:val="24"/>
          <w:szCs w:val="24"/>
        </w:rPr>
        <w:t xml:space="preserve"> conduct</w:t>
      </w:r>
      <w:r w:rsidR="00F42561" w:rsidRPr="00883237">
        <w:rPr>
          <w:sz w:val="24"/>
          <w:szCs w:val="24"/>
        </w:rPr>
        <w:t xml:space="preserve"> </w:t>
      </w:r>
      <w:r w:rsidR="00F33633" w:rsidRPr="00883237">
        <w:rPr>
          <w:sz w:val="24"/>
          <w:szCs w:val="24"/>
        </w:rPr>
        <w:t xml:space="preserve">a second disparity study </w:t>
      </w:r>
      <w:r w:rsidR="0091630E" w:rsidRPr="00883237">
        <w:rPr>
          <w:sz w:val="24"/>
          <w:szCs w:val="24"/>
        </w:rPr>
        <w:t>and</w:t>
      </w:r>
      <w:r w:rsidR="00F42561" w:rsidRPr="00883237">
        <w:rPr>
          <w:sz w:val="24"/>
          <w:szCs w:val="24"/>
        </w:rPr>
        <w:t xml:space="preserve"> to</w:t>
      </w:r>
      <w:r w:rsidR="00F33633" w:rsidRPr="00883237">
        <w:rPr>
          <w:sz w:val="24"/>
          <w:szCs w:val="24"/>
        </w:rPr>
        <w:t xml:space="preserve"> undertak</w:t>
      </w:r>
      <w:r w:rsidR="00F42561" w:rsidRPr="00883237">
        <w:rPr>
          <w:sz w:val="24"/>
          <w:szCs w:val="24"/>
        </w:rPr>
        <w:t>e</w:t>
      </w:r>
      <w:r w:rsidR="00F33633" w:rsidRPr="00883237">
        <w:rPr>
          <w:sz w:val="24"/>
          <w:szCs w:val="24"/>
        </w:rPr>
        <w:t xml:space="preserve"> any attendant evaluation</w:t>
      </w:r>
      <w:r w:rsidR="0091630E" w:rsidRPr="00883237">
        <w:rPr>
          <w:sz w:val="24"/>
          <w:szCs w:val="24"/>
        </w:rPr>
        <w:t xml:space="preserve"> for purposes of awarding Class B licenses, </w:t>
      </w:r>
      <w:r w:rsidR="00883237" w:rsidRPr="00883237">
        <w:rPr>
          <w:sz w:val="24"/>
          <w:szCs w:val="24"/>
        </w:rPr>
        <w:t xml:space="preserve">SWARC's </w:t>
      </w:r>
      <w:r w:rsidR="00434387" w:rsidRPr="00883237">
        <w:rPr>
          <w:sz w:val="24"/>
          <w:szCs w:val="24"/>
        </w:rPr>
        <w:t>exercise of that</w:t>
      </w:r>
      <w:r w:rsidR="0091630E" w:rsidRPr="00883237">
        <w:rPr>
          <w:sz w:val="24"/>
          <w:szCs w:val="24"/>
        </w:rPr>
        <w:t xml:space="preserve"> </w:t>
      </w:r>
      <w:r w:rsidR="00434387" w:rsidRPr="00883237">
        <w:rPr>
          <w:sz w:val="24"/>
          <w:szCs w:val="24"/>
        </w:rPr>
        <w:t xml:space="preserve">statutory </w:t>
      </w:r>
      <w:r w:rsidR="0091630E" w:rsidRPr="00883237">
        <w:rPr>
          <w:sz w:val="24"/>
          <w:szCs w:val="24"/>
        </w:rPr>
        <w:t xml:space="preserve">authority </w:t>
      </w:r>
      <w:r w:rsidR="00F42561" w:rsidRPr="00883237">
        <w:rPr>
          <w:sz w:val="24"/>
          <w:szCs w:val="24"/>
        </w:rPr>
        <w:t xml:space="preserve">is not </w:t>
      </w:r>
      <w:r w:rsidR="00883237" w:rsidRPr="00883237">
        <w:rPr>
          <w:sz w:val="24"/>
          <w:szCs w:val="24"/>
        </w:rPr>
        <w:t>a valid</w:t>
      </w:r>
      <w:r w:rsidR="00434387" w:rsidRPr="00883237">
        <w:rPr>
          <w:sz w:val="24"/>
          <w:szCs w:val="24"/>
        </w:rPr>
        <w:t xml:space="preserve"> </w:t>
      </w:r>
      <w:r w:rsidR="00F42561" w:rsidRPr="00883237">
        <w:rPr>
          <w:sz w:val="24"/>
          <w:szCs w:val="24"/>
        </w:rPr>
        <w:t xml:space="preserve">basis to delay the </w:t>
      </w:r>
      <w:r w:rsidR="0091630E" w:rsidRPr="00883237">
        <w:rPr>
          <w:sz w:val="24"/>
          <w:szCs w:val="24"/>
        </w:rPr>
        <w:t xml:space="preserve">prompt </w:t>
      </w:r>
      <w:r w:rsidR="00F42561" w:rsidRPr="00883237">
        <w:rPr>
          <w:sz w:val="24"/>
          <w:szCs w:val="24"/>
        </w:rPr>
        <w:t>award of licenses to Class A</w:t>
      </w:r>
      <w:r w:rsidR="0091630E" w:rsidRPr="00883237">
        <w:rPr>
          <w:sz w:val="24"/>
          <w:szCs w:val="24"/>
        </w:rPr>
        <w:t xml:space="preserve"> applicants.</w:t>
      </w:r>
    </w:p>
    <w:p w14:paraId="7B87FC8E" w14:textId="030DE0C4" w:rsidR="00421168" w:rsidRPr="00883237" w:rsidRDefault="00421168" w:rsidP="004132D6">
      <w:pPr>
        <w:rPr>
          <w:sz w:val="24"/>
          <w:szCs w:val="24"/>
        </w:rPr>
      </w:pPr>
      <w:r w:rsidRPr="00883237">
        <w:rPr>
          <w:sz w:val="24"/>
          <w:szCs w:val="24"/>
        </w:rPr>
        <w:t xml:space="preserve">As </w:t>
      </w:r>
      <w:r w:rsidR="001E555B" w:rsidRPr="00883237">
        <w:rPr>
          <w:sz w:val="24"/>
          <w:szCs w:val="24"/>
        </w:rPr>
        <w:t>Maryland casino operators</w:t>
      </w:r>
      <w:r w:rsidRPr="00883237">
        <w:rPr>
          <w:sz w:val="24"/>
          <w:szCs w:val="24"/>
        </w:rPr>
        <w:t>, we are</w:t>
      </w:r>
      <w:r w:rsidR="001E555B" w:rsidRPr="00883237">
        <w:rPr>
          <w:sz w:val="24"/>
          <w:szCs w:val="24"/>
        </w:rPr>
        <w:t xml:space="preserve"> </w:t>
      </w:r>
      <w:r w:rsidRPr="00883237">
        <w:rPr>
          <w:sz w:val="24"/>
          <w:szCs w:val="24"/>
        </w:rPr>
        <w:t>good faith</w:t>
      </w:r>
      <w:r w:rsidR="0091630E" w:rsidRPr="00883237">
        <w:rPr>
          <w:sz w:val="24"/>
          <w:szCs w:val="24"/>
        </w:rPr>
        <w:t>, proven</w:t>
      </w:r>
      <w:r w:rsidRPr="00883237">
        <w:rPr>
          <w:sz w:val="24"/>
          <w:szCs w:val="24"/>
        </w:rPr>
        <w:t xml:space="preserve"> partners</w:t>
      </w:r>
      <w:r w:rsidR="001E555B" w:rsidRPr="00883237">
        <w:rPr>
          <w:sz w:val="24"/>
          <w:szCs w:val="24"/>
        </w:rPr>
        <w:t xml:space="preserve"> with </w:t>
      </w:r>
      <w:r w:rsidRPr="00883237">
        <w:rPr>
          <w:sz w:val="24"/>
          <w:szCs w:val="24"/>
        </w:rPr>
        <w:t xml:space="preserve">Maryland residents, </w:t>
      </w:r>
      <w:r w:rsidR="001E555B" w:rsidRPr="00883237">
        <w:rPr>
          <w:sz w:val="24"/>
          <w:szCs w:val="24"/>
        </w:rPr>
        <w:t>the State of Maryland</w:t>
      </w:r>
      <w:r w:rsidRPr="00883237">
        <w:rPr>
          <w:sz w:val="24"/>
          <w:szCs w:val="24"/>
        </w:rPr>
        <w:t>,</w:t>
      </w:r>
      <w:r w:rsidR="001E555B" w:rsidRPr="00883237">
        <w:rPr>
          <w:sz w:val="24"/>
          <w:szCs w:val="24"/>
        </w:rPr>
        <w:t xml:space="preserve"> and the Maryland Legislature. </w:t>
      </w:r>
      <w:r w:rsidRPr="00883237">
        <w:rPr>
          <w:sz w:val="24"/>
          <w:szCs w:val="24"/>
        </w:rPr>
        <w:t xml:space="preserve">We </w:t>
      </w:r>
      <w:r w:rsidR="001E555B" w:rsidRPr="00883237">
        <w:rPr>
          <w:sz w:val="24"/>
          <w:szCs w:val="24"/>
        </w:rPr>
        <w:t>have provided the State of Maryland more than $12.47 billion dollars sinc</w:t>
      </w:r>
      <w:r w:rsidRPr="00883237">
        <w:rPr>
          <w:sz w:val="24"/>
          <w:szCs w:val="24"/>
        </w:rPr>
        <w:t>e beginning operations</w:t>
      </w:r>
      <w:r w:rsidR="001E555B" w:rsidRPr="00883237">
        <w:rPr>
          <w:sz w:val="24"/>
          <w:szCs w:val="24"/>
        </w:rPr>
        <w:t xml:space="preserve"> in 2010. </w:t>
      </w:r>
      <w:r w:rsidR="00F647DD">
        <w:rPr>
          <w:sz w:val="24"/>
          <w:szCs w:val="24"/>
        </w:rPr>
        <w:t xml:space="preserve">The casino industry </w:t>
      </w:r>
      <w:r w:rsidR="001E555B" w:rsidRPr="00883237">
        <w:rPr>
          <w:sz w:val="24"/>
          <w:szCs w:val="24"/>
        </w:rPr>
        <w:t>ha</w:t>
      </w:r>
      <w:r w:rsidR="00F647DD">
        <w:rPr>
          <w:sz w:val="24"/>
          <w:szCs w:val="24"/>
        </w:rPr>
        <w:t>s</w:t>
      </w:r>
      <w:r w:rsidR="001E555B" w:rsidRPr="00883237">
        <w:rPr>
          <w:sz w:val="24"/>
          <w:szCs w:val="24"/>
        </w:rPr>
        <w:t xml:space="preserve"> hired thousands of Marylanders and wish to continue to be partners in good faith with the State</w:t>
      </w:r>
      <w:r w:rsidRPr="00883237">
        <w:rPr>
          <w:sz w:val="24"/>
          <w:szCs w:val="24"/>
        </w:rPr>
        <w:t xml:space="preserve"> and stand ready to bring hundreds more Marylanders into our workforces as soon as permitted</w:t>
      </w:r>
      <w:r w:rsidR="001E555B" w:rsidRPr="00883237">
        <w:rPr>
          <w:sz w:val="24"/>
          <w:szCs w:val="24"/>
        </w:rPr>
        <w:t xml:space="preserve">. </w:t>
      </w:r>
    </w:p>
    <w:p w14:paraId="535BBE9D" w14:textId="72FE669E" w:rsidR="001E555B" w:rsidRPr="00883237" w:rsidRDefault="001E555B" w:rsidP="004132D6">
      <w:pPr>
        <w:rPr>
          <w:sz w:val="24"/>
          <w:szCs w:val="24"/>
        </w:rPr>
      </w:pPr>
      <w:r w:rsidRPr="00883237">
        <w:rPr>
          <w:sz w:val="24"/>
          <w:szCs w:val="24"/>
        </w:rPr>
        <w:t xml:space="preserve">We ask SWARC to </w:t>
      </w:r>
      <w:r w:rsidR="00421168" w:rsidRPr="00883237">
        <w:rPr>
          <w:sz w:val="24"/>
          <w:szCs w:val="24"/>
        </w:rPr>
        <w:t>give speedy consideration</w:t>
      </w:r>
      <w:r w:rsidRPr="00883237">
        <w:rPr>
          <w:sz w:val="24"/>
          <w:szCs w:val="24"/>
        </w:rPr>
        <w:t xml:space="preserve"> to the applicants who have met the requirements of this statute</w:t>
      </w:r>
      <w:r w:rsidR="00421168" w:rsidRPr="00883237">
        <w:rPr>
          <w:sz w:val="24"/>
          <w:szCs w:val="24"/>
        </w:rPr>
        <w:t>, and award “Class A licenses” to those applicants found suitable by the MLGCA</w:t>
      </w:r>
      <w:r w:rsidRPr="00883237">
        <w:rPr>
          <w:sz w:val="24"/>
          <w:szCs w:val="24"/>
        </w:rPr>
        <w:t xml:space="preserve">. </w:t>
      </w:r>
    </w:p>
    <w:p w14:paraId="6B36A322" w14:textId="77777777" w:rsidR="001E555B" w:rsidRPr="00883237" w:rsidRDefault="001E555B" w:rsidP="001E555B">
      <w:pPr>
        <w:rPr>
          <w:sz w:val="24"/>
          <w:szCs w:val="24"/>
        </w:rPr>
      </w:pPr>
    </w:p>
    <w:p w14:paraId="2A1D5194" w14:textId="77777777" w:rsidR="001E555B" w:rsidRPr="00883237" w:rsidRDefault="001E555B" w:rsidP="001E555B">
      <w:pPr>
        <w:contextualSpacing/>
        <w:rPr>
          <w:sz w:val="24"/>
          <w:szCs w:val="24"/>
        </w:rPr>
      </w:pPr>
      <w:r w:rsidRPr="00883237">
        <w:rPr>
          <w:sz w:val="24"/>
          <w:szCs w:val="24"/>
        </w:rPr>
        <w:t>Cc: Governor Lawrence Hogan</w:t>
      </w:r>
    </w:p>
    <w:p w14:paraId="41CF68EB" w14:textId="77777777" w:rsidR="001E555B" w:rsidRPr="00883237" w:rsidRDefault="001E555B" w:rsidP="001E555B">
      <w:pPr>
        <w:contextualSpacing/>
        <w:rPr>
          <w:sz w:val="24"/>
          <w:szCs w:val="24"/>
        </w:rPr>
      </w:pPr>
      <w:r w:rsidRPr="00883237">
        <w:rPr>
          <w:sz w:val="24"/>
          <w:szCs w:val="24"/>
        </w:rPr>
        <w:t xml:space="preserve">Senate President Bill Ferguson </w:t>
      </w:r>
    </w:p>
    <w:p w14:paraId="4CF8C428" w14:textId="77777777" w:rsidR="001E555B" w:rsidRPr="00883237" w:rsidRDefault="001E555B" w:rsidP="001E555B">
      <w:pPr>
        <w:contextualSpacing/>
        <w:rPr>
          <w:sz w:val="24"/>
          <w:szCs w:val="24"/>
        </w:rPr>
      </w:pPr>
      <w:r w:rsidRPr="00883237">
        <w:rPr>
          <w:sz w:val="24"/>
          <w:szCs w:val="24"/>
        </w:rPr>
        <w:t xml:space="preserve">Speaker Adrienne Jones </w:t>
      </w:r>
    </w:p>
    <w:p w14:paraId="7E8A02A0" w14:textId="77777777" w:rsidR="001E555B" w:rsidRPr="00883237" w:rsidRDefault="001E555B" w:rsidP="001E555B">
      <w:pPr>
        <w:contextualSpacing/>
        <w:rPr>
          <w:sz w:val="24"/>
          <w:szCs w:val="24"/>
        </w:rPr>
      </w:pPr>
      <w:proofErr w:type="gramStart"/>
      <w:r w:rsidRPr="00883237">
        <w:rPr>
          <w:sz w:val="24"/>
          <w:szCs w:val="24"/>
        </w:rPr>
        <w:t>Rosie  Allen</w:t>
      </w:r>
      <w:proofErr w:type="gramEnd"/>
      <w:r w:rsidRPr="00883237">
        <w:rPr>
          <w:sz w:val="24"/>
          <w:szCs w:val="24"/>
        </w:rPr>
        <w:t>-Herring, Member SWARC</w:t>
      </w:r>
    </w:p>
    <w:p w14:paraId="0F93BB00" w14:textId="77777777" w:rsidR="001E555B" w:rsidRPr="00883237" w:rsidRDefault="001E555B" w:rsidP="001E555B">
      <w:pPr>
        <w:contextualSpacing/>
        <w:rPr>
          <w:sz w:val="24"/>
          <w:szCs w:val="24"/>
        </w:rPr>
      </w:pPr>
      <w:r w:rsidRPr="00883237">
        <w:rPr>
          <w:sz w:val="24"/>
          <w:szCs w:val="24"/>
        </w:rPr>
        <w:t>Laura Gamble, Member SWARC</w:t>
      </w:r>
    </w:p>
    <w:p w14:paraId="3179A0AE" w14:textId="77777777" w:rsidR="001E555B" w:rsidRPr="00883237" w:rsidRDefault="001E555B" w:rsidP="001E555B">
      <w:pPr>
        <w:contextualSpacing/>
        <w:rPr>
          <w:sz w:val="24"/>
          <w:szCs w:val="24"/>
        </w:rPr>
      </w:pPr>
      <w:r w:rsidRPr="00883237">
        <w:rPr>
          <w:sz w:val="24"/>
          <w:szCs w:val="24"/>
        </w:rPr>
        <w:t>Bert Hash, Jr., Member SWARC</w:t>
      </w:r>
    </w:p>
    <w:p w14:paraId="2215F719" w14:textId="77777777" w:rsidR="001E555B" w:rsidRPr="00883237" w:rsidRDefault="001E555B" w:rsidP="001E555B">
      <w:pPr>
        <w:contextualSpacing/>
        <w:rPr>
          <w:sz w:val="24"/>
          <w:szCs w:val="24"/>
        </w:rPr>
      </w:pPr>
      <w:r w:rsidRPr="00883237">
        <w:rPr>
          <w:sz w:val="24"/>
          <w:szCs w:val="24"/>
        </w:rPr>
        <w:t xml:space="preserve">E.  </w:t>
      </w:r>
      <w:proofErr w:type="gramStart"/>
      <w:r w:rsidRPr="00883237">
        <w:rPr>
          <w:sz w:val="24"/>
          <w:szCs w:val="24"/>
        </w:rPr>
        <w:t xml:space="preserve">Randolph  </w:t>
      </w:r>
      <w:proofErr w:type="spellStart"/>
      <w:r w:rsidRPr="00883237">
        <w:rPr>
          <w:sz w:val="24"/>
          <w:szCs w:val="24"/>
        </w:rPr>
        <w:t>Marriner</w:t>
      </w:r>
      <w:proofErr w:type="spellEnd"/>
      <w:proofErr w:type="gramEnd"/>
      <w:r w:rsidRPr="00883237">
        <w:rPr>
          <w:sz w:val="24"/>
          <w:szCs w:val="24"/>
        </w:rPr>
        <w:t>, Member SWARC, Chair, MLGCC</w:t>
      </w:r>
    </w:p>
    <w:p w14:paraId="3FB5434A" w14:textId="77777777" w:rsidR="001E555B" w:rsidRPr="00883237" w:rsidRDefault="001E555B" w:rsidP="001E555B">
      <w:pPr>
        <w:contextualSpacing/>
        <w:rPr>
          <w:sz w:val="24"/>
          <w:szCs w:val="24"/>
        </w:rPr>
      </w:pPr>
      <w:proofErr w:type="gramStart"/>
      <w:r w:rsidRPr="00883237">
        <w:rPr>
          <w:sz w:val="24"/>
          <w:szCs w:val="24"/>
        </w:rPr>
        <w:t>Cassandra  Stevenson</w:t>
      </w:r>
      <w:proofErr w:type="gramEnd"/>
      <w:r w:rsidRPr="00883237">
        <w:rPr>
          <w:sz w:val="24"/>
          <w:szCs w:val="24"/>
        </w:rPr>
        <w:t>, Member SWARC</w:t>
      </w:r>
    </w:p>
    <w:p w14:paraId="27E3331E" w14:textId="77777777" w:rsidR="001E555B" w:rsidRPr="00883237" w:rsidRDefault="001E555B" w:rsidP="001E555B">
      <w:pPr>
        <w:contextualSpacing/>
        <w:rPr>
          <w:sz w:val="24"/>
          <w:szCs w:val="24"/>
        </w:rPr>
      </w:pPr>
      <w:r w:rsidRPr="00883237">
        <w:rPr>
          <w:sz w:val="24"/>
          <w:szCs w:val="24"/>
        </w:rPr>
        <w:t xml:space="preserve">The Honorable </w:t>
      </w:r>
      <w:proofErr w:type="gramStart"/>
      <w:r w:rsidRPr="00883237">
        <w:rPr>
          <w:sz w:val="24"/>
          <w:szCs w:val="24"/>
        </w:rPr>
        <w:t>Frank  Turner</w:t>
      </w:r>
      <w:proofErr w:type="gramEnd"/>
      <w:r w:rsidRPr="00883237">
        <w:rPr>
          <w:sz w:val="24"/>
          <w:szCs w:val="24"/>
        </w:rPr>
        <w:t xml:space="preserve">, Member SWARC </w:t>
      </w:r>
    </w:p>
    <w:p w14:paraId="522CD971" w14:textId="77777777" w:rsidR="001E555B" w:rsidRPr="00883237" w:rsidRDefault="001E555B" w:rsidP="001E555B">
      <w:pPr>
        <w:contextualSpacing/>
        <w:rPr>
          <w:sz w:val="24"/>
          <w:szCs w:val="24"/>
        </w:rPr>
      </w:pPr>
      <w:r w:rsidRPr="00883237">
        <w:rPr>
          <w:sz w:val="24"/>
          <w:szCs w:val="24"/>
        </w:rPr>
        <w:t>John Martin, Executive Director, MLGCA</w:t>
      </w:r>
    </w:p>
    <w:p w14:paraId="5223E343" w14:textId="08D840B2" w:rsidR="001E555B" w:rsidRPr="00883237" w:rsidRDefault="001E555B" w:rsidP="004132D6">
      <w:pPr>
        <w:rPr>
          <w:sz w:val="24"/>
          <w:szCs w:val="24"/>
        </w:rPr>
      </w:pPr>
    </w:p>
    <w:sectPr w:rsidR="001E555B" w:rsidRPr="00883237" w:rsidSect="00C17FD7">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09F47" w14:textId="77777777" w:rsidR="00550D55" w:rsidRDefault="00550D55" w:rsidP="00434387">
      <w:pPr>
        <w:spacing w:after="0" w:line="240" w:lineRule="auto"/>
      </w:pPr>
      <w:r>
        <w:separator/>
      </w:r>
    </w:p>
  </w:endnote>
  <w:endnote w:type="continuationSeparator" w:id="0">
    <w:p w14:paraId="581947CD" w14:textId="77777777" w:rsidR="00550D55" w:rsidRDefault="00550D55" w:rsidP="0043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138B0" w14:textId="77777777" w:rsidR="00550D55" w:rsidRDefault="00550D55" w:rsidP="00434387">
      <w:pPr>
        <w:spacing w:after="0" w:line="240" w:lineRule="auto"/>
        <w:rPr>
          <w:noProof/>
        </w:rPr>
      </w:pPr>
      <w:r>
        <w:rPr>
          <w:noProof/>
        </w:rPr>
        <w:separator/>
      </w:r>
    </w:p>
  </w:footnote>
  <w:footnote w:type="continuationSeparator" w:id="0">
    <w:p w14:paraId="79B2AF48" w14:textId="77777777" w:rsidR="00550D55" w:rsidRDefault="00550D55" w:rsidP="00434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DF7D" w14:textId="4F838CF4" w:rsidR="00C17FD7" w:rsidRDefault="00C17FD7" w:rsidP="00C17FD7">
    <w:pPr>
      <w:pStyle w:val="Header"/>
      <w:jc w:val="both"/>
    </w:pPr>
    <w:r>
      <w:t xml:space="preserve">         </w:t>
    </w:r>
    <w:r w:rsidR="00976878">
      <w:t xml:space="preserve">      </w:t>
    </w:r>
    <w:r>
      <w:t xml:space="preserve">  </w:t>
    </w:r>
    <w:r>
      <w:rPr>
        <w:noProof/>
      </w:rPr>
      <w:drawing>
        <wp:inline distT="0" distB="0" distL="0" distR="0" wp14:anchorId="39ECC0BF" wp14:editId="5E3D7477">
          <wp:extent cx="597535" cy="3721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372110"/>
                  </a:xfrm>
                  <a:prstGeom prst="rect">
                    <a:avLst/>
                  </a:prstGeom>
                  <a:noFill/>
                </pic:spPr>
              </pic:pic>
            </a:graphicData>
          </a:graphic>
        </wp:inline>
      </w:drawing>
    </w:r>
    <w:r>
      <w:t xml:space="preserve">                           </w:t>
    </w:r>
    <w:r w:rsidR="00976878">
      <w:t xml:space="preserve">            </w:t>
    </w:r>
    <w:r>
      <w:t xml:space="preserve"> </w:t>
    </w:r>
    <w:r>
      <w:rPr>
        <w:noProof/>
      </w:rPr>
      <w:drawing>
        <wp:inline distT="0" distB="0" distL="0" distR="0" wp14:anchorId="106C372D" wp14:editId="067089A8">
          <wp:extent cx="463550" cy="3289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3550" cy="328930"/>
                  </a:xfrm>
                  <a:prstGeom prst="rect">
                    <a:avLst/>
                  </a:prstGeom>
                  <a:noFill/>
                </pic:spPr>
              </pic:pic>
            </a:graphicData>
          </a:graphic>
        </wp:inline>
      </w:drawing>
    </w:r>
    <w:r>
      <w:t xml:space="preserve">                                 </w:t>
    </w:r>
    <w:r w:rsidR="00976878">
      <w:t xml:space="preserve">      </w:t>
    </w:r>
    <w:r>
      <w:t xml:space="preserve">  </w:t>
    </w:r>
    <w:r>
      <w:rPr>
        <w:noProof/>
      </w:rPr>
      <w:drawing>
        <wp:inline distT="0" distB="0" distL="0" distR="0" wp14:anchorId="50DFB92D" wp14:editId="043D83A0">
          <wp:extent cx="433070" cy="38417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3070" cy="384175"/>
                  </a:xfrm>
                  <a:prstGeom prst="rect">
                    <a:avLst/>
                  </a:prstGeom>
                  <a:noFill/>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72"/>
    <w:rsid w:val="00041251"/>
    <w:rsid w:val="00096A9A"/>
    <w:rsid w:val="00133D9F"/>
    <w:rsid w:val="001E555B"/>
    <w:rsid w:val="00393E1B"/>
    <w:rsid w:val="003A349D"/>
    <w:rsid w:val="004132D6"/>
    <w:rsid w:val="00421168"/>
    <w:rsid w:val="00434387"/>
    <w:rsid w:val="005037D4"/>
    <w:rsid w:val="00550D55"/>
    <w:rsid w:val="005627CB"/>
    <w:rsid w:val="00586772"/>
    <w:rsid w:val="00597AC0"/>
    <w:rsid w:val="005C5F9D"/>
    <w:rsid w:val="006875AD"/>
    <w:rsid w:val="006A2749"/>
    <w:rsid w:val="00823814"/>
    <w:rsid w:val="00883237"/>
    <w:rsid w:val="008A729A"/>
    <w:rsid w:val="0091630E"/>
    <w:rsid w:val="00952655"/>
    <w:rsid w:val="00976878"/>
    <w:rsid w:val="00995559"/>
    <w:rsid w:val="009D76CC"/>
    <w:rsid w:val="00AF041E"/>
    <w:rsid w:val="00B148DE"/>
    <w:rsid w:val="00C17FD7"/>
    <w:rsid w:val="00C31AAE"/>
    <w:rsid w:val="00C628F8"/>
    <w:rsid w:val="00CA667B"/>
    <w:rsid w:val="00CB1EEF"/>
    <w:rsid w:val="00CF28E9"/>
    <w:rsid w:val="00D433BC"/>
    <w:rsid w:val="00DC51AA"/>
    <w:rsid w:val="00E30554"/>
    <w:rsid w:val="00F13DCC"/>
    <w:rsid w:val="00F14817"/>
    <w:rsid w:val="00F33633"/>
    <w:rsid w:val="00F42561"/>
    <w:rsid w:val="00F647DD"/>
    <w:rsid w:val="00FB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BC1C6"/>
  <w15:chartTrackingRefBased/>
  <w15:docId w15:val="{44B41D34-F4BF-4463-9420-D23EF1E7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B5BD4"/>
    <w:pPr>
      <w:spacing w:after="0" w:line="240" w:lineRule="auto"/>
    </w:pPr>
  </w:style>
  <w:style w:type="paragraph" w:styleId="Header">
    <w:name w:val="header"/>
    <w:basedOn w:val="Normal"/>
    <w:link w:val="HeaderChar"/>
    <w:uiPriority w:val="99"/>
    <w:unhideWhenUsed/>
    <w:rsid w:val="00434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387"/>
  </w:style>
  <w:style w:type="paragraph" w:styleId="Footer">
    <w:name w:val="footer"/>
    <w:basedOn w:val="Normal"/>
    <w:link w:val="FooterChar"/>
    <w:uiPriority w:val="99"/>
    <w:unhideWhenUsed/>
    <w:rsid w:val="00434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387"/>
  </w:style>
  <w:style w:type="character" w:styleId="CommentReference">
    <w:name w:val="annotation reference"/>
    <w:basedOn w:val="DefaultParagraphFont"/>
    <w:uiPriority w:val="99"/>
    <w:semiHidden/>
    <w:unhideWhenUsed/>
    <w:rsid w:val="00393E1B"/>
    <w:rPr>
      <w:sz w:val="16"/>
      <w:szCs w:val="16"/>
    </w:rPr>
  </w:style>
  <w:style w:type="paragraph" w:styleId="CommentText">
    <w:name w:val="annotation text"/>
    <w:basedOn w:val="Normal"/>
    <w:link w:val="CommentTextChar"/>
    <w:uiPriority w:val="99"/>
    <w:semiHidden/>
    <w:unhideWhenUsed/>
    <w:rsid w:val="00393E1B"/>
    <w:pPr>
      <w:spacing w:line="240" w:lineRule="auto"/>
    </w:pPr>
    <w:rPr>
      <w:sz w:val="20"/>
      <w:szCs w:val="20"/>
    </w:rPr>
  </w:style>
  <w:style w:type="character" w:customStyle="1" w:styleId="CommentTextChar">
    <w:name w:val="Comment Text Char"/>
    <w:basedOn w:val="DefaultParagraphFont"/>
    <w:link w:val="CommentText"/>
    <w:uiPriority w:val="99"/>
    <w:semiHidden/>
    <w:rsid w:val="00393E1B"/>
    <w:rPr>
      <w:sz w:val="20"/>
      <w:szCs w:val="20"/>
    </w:rPr>
  </w:style>
  <w:style w:type="paragraph" w:styleId="CommentSubject">
    <w:name w:val="annotation subject"/>
    <w:basedOn w:val="CommentText"/>
    <w:next w:val="CommentText"/>
    <w:link w:val="CommentSubjectChar"/>
    <w:uiPriority w:val="99"/>
    <w:semiHidden/>
    <w:unhideWhenUsed/>
    <w:rsid w:val="00393E1B"/>
    <w:rPr>
      <w:b/>
      <w:bCs/>
    </w:rPr>
  </w:style>
  <w:style w:type="character" w:customStyle="1" w:styleId="CommentSubjectChar">
    <w:name w:val="Comment Subject Char"/>
    <w:basedOn w:val="CommentTextChar"/>
    <w:link w:val="CommentSubject"/>
    <w:uiPriority w:val="99"/>
    <w:semiHidden/>
    <w:rsid w:val="00393E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4B59A-7A05-4CFB-81B9-768A5648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636</Words>
  <Characters>3628</Characters>
  <Application>Microsoft Office Word</Application>
  <DocSecurity>0</DocSecurity>
  <PresentationFormat/>
  <Lines>30</Lines>
  <Paragraphs>8</Paragraphs>
  <ScaleCrop>false</ScaleCrop>
  <HeadingPairs>
    <vt:vector size="2" baseType="variant">
      <vt:variant>
        <vt:lpstr>Title</vt:lpstr>
      </vt:variant>
      <vt:variant>
        <vt:i4>1</vt:i4>
      </vt:variant>
    </vt:vector>
  </HeadingPairs>
  <TitlesOfParts>
    <vt:vector size="1" baseType="lpstr">
      <vt:lpstr>11/10/21 PMA/ERG2 edits to draft of joint letter to SWARC (03821845).DOCX</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11/10/21 PMA/ERG2 edits to draft of joint letter to SWARC (03821845).DOCX</dc:title>
  <dc:subject>18135/0/03821845.DOCXv1/font=7</dc:subject>
  <dc:creator>Kerry Watson</dc:creator>
  <cp:keywords/>
  <dc:description/>
  <cp:lastModifiedBy>Watson, Kerry</cp:lastModifiedBy>
  <cp:revision>4</cp:revision>
  <dcterms:created xsi:type="dcterms:W3CDTF">2021-11-10T20:29:00Z</dcterms:created>
  <dcterms:modified xsi:type="dcterms:W3CDTF">2021-11-15T19:07:00Z</dcterms:modified>
</cp:coreProperties>
</file>